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color w:val="000000" w:themeColor="text1"/>
          <w:sz w:val="36"/>
          <w:szCs w:val="36"/>
          <w:lang w:eastAsia="zh-CN"/>
          <w14:textFill>
            <w14:solidFill>
              <w14:schemeClr w14:val="tx1"/>
            </w14:solidFill>
          </w14:textFill>
        </w:rPr>
      </w:pPr>
    </w:p>
    <w:p>
      <w:pPr>
        <w:jc w:val="center"/>
        <w:rPr>
          <w:rFonts w:hint="eastAsia" w:ascii="宋体" w:hAnsi="宋体" w:eastAsia="宋体" w:cs="宋体"/>
          <w:b/>
          <w:bCs/>
          <w:color w:val="000000" w:themeColor="text1"/>
          <w:sz w:val="36"/>
          <w:szCs w:val="36"/>
          <w:lang w:val="en-US" w:eastAsia="zh-Hans"/>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宁夏回族自治区</w:t>
      </w:r>
      <w:r>
        <w:rPr>
          <w:rFonts w:hint="eastAsia" w:ascii="宋体" w:hAnsi="宋体" w:eastAsia="宋体" w:cs="宋体"/>
          <w:b/>
          <w:bCs/>
          <w:color w:val="000000" w:themeColor="text1"/>
          <w:sz w:val="36"/>
          <w:szCs w:val="36"/>
          <w:lang w:val="en-US" w:eastAsia="zh-Hans"/>
          <w14:textFill>
            <w14:solidFill>
              <w14:schemeClr w14:val="tx1"/>
            </w14:solidFill>
          </w14:textFill>
        </w:rPr>
        <w:t>政协</w:t>
      </w:r>
    </w:p>
    <w:p>
      <w:pPr>
        <w:jc w:val="center"/>
        <w:rPr>
          <w:rFonts w:hint="eastAsia" w:ascii="宋体" w:hAnsi="宋体" w:eastAsia="宋体" w:cs="宋体"/>
          <w:b/>
          <w:bCs/>
          <w:color w:val="000000" w:themeColor="text1"/>
          <w:sz w:val="36"/>
          <w:szCs w:val="36"/>
          <w:lang w:val="en-US" w:eastAsia="zh-Hans"/>
          <w14:textFill>
            <w14:solidFill>
              <w14:schemeClr w14:val="tx1"/>
            </w14:solidFill>
          </w14:textFill>
        </w:rPr>
      </w:pPr>
      <w:r>
        <w:rPr>
          <w:rFonts w:hint="default" w:ascii="宋体" w:hAnsi="宋体" w:eastAsia="宋体" w:cs="宋体"/>
          <w:b/>
          <w:bCs/>
          <w:color w:val="000000" w:themeColor="text1"/>
          <w:sz w:val="36"/>
          <w:szCs w:val="36"/>
          <w:lang w:val="en-US" w:eastAsia="zh-Hans"/>
          <w14:textFill>
            <w14:solidFill>
              <w14:schemeClr w14:val="tx1"/>
            </w14:solidFill>
          </w14:textFill>
        </w:rPr>
        <w:t>十一</w:t>
      </w:r>
      <w:r>
        <w:rPr>
          <w:rFonts w:hint="eastAsia" w:ascii="宋体" w:hAnsi="宋体" w:eastAsia="宋体" w:cs="宋体"/>
          <w:b/>
          <w:bCs/>
          <w:color w:val="000000" w:themeColor="text1"/>
          <w:sz w:val="36"/>
          <w:szCs w:val="36"/>
          <w:lang w:val="en-US" w:eastAsia="zh-Hans"/>
          <w14:textFill>
            <w14:solidFill>
              <w14:schemeClr w14:val="tx1"/>
            </w14:solidFill>
          </w14:textFill>
        </w:rPr>
        <w:t>届</w:t>
      </w:r>
      <w:r>
        <w:rPr>
          <w:rFonts w:hint="default" w:ascii="宋体" w:hAnsi="宋体" w:eastAsia="宋体" w:cs="宋体"/>
          <w:b/>
          <w:bCs/>
          <w:color w:val="000000" w:themeColor="text1"/>
          <w:sz w:val="36"/>
          <w:szCs w:val="36"/>
          <w:lang w:val="en-US" w:eastAsia="zh-Hans"/>
          <w14:textFill>
            <w14:solidFill>
              <w14:schemeClr w14:val="tx1"/>
            </w14:solidFill>
          </w14:textFill>
        </w:rPr>
        <w:t>四</w:t>
      </w:r>
      <w:r>
        <w:rPr>
          <w:rFonts w:hint="eastAsia" w:ascii="宋体" w:hAnsi="宋体" w:eastAsia="宋体" w:cs="宋体"/>
          <w:b/>
          <w:bCs/>
          <w:color w:val="000000" w:themeColor="text1"/>
          <w:sz w:val="36"/>
          <w:szCs w:val="36"/>
          <w:lang w:val="en-US" w:eastAsia="zh-Hans"/>
          <w14:textFill>
            <w14:solidFill>
              <w14:schemeClr w14:val="tx1"/>
            </w14:solidFill>
          </w14:textFill>
        </w:rPr>
        <w:t>次会议第</w:t>
      </w:r>
      <w:r>
        <w:rPr>
          <w:rFonts w:hint="default" w:ascii="宋体" w:hAnsi="宋体" w:eastAsia="宋体" w:cs="宋体"/>
          <w:b/>
          <w:bCs/>
          <w:color w:val="000000" w:themeColor="text1"/>
          <w:sz w:val="36"/>
          <w:szCs w:val="36"/>
          <w:lang w:val="en-US" w:eastAsia="zh-Hans"/>
          <w14:textFill>
            <w14:solidFill>
              <w14:schemeClr w14:val="tx1"/>
            </w14:solidFill>
          </w14:textFill>
        </w:rPr>
        <w:t>383</w:t>
      </w:r>
      <w:r>
        <w:rPr>
          <w:rFonts w:hint="eastAsia" w:ascii="宋体" w:hAnsi="宋体" w:eastAsia="宋体" w:cs="宋体"/>
          <w:b/>
          <w:bCs/>
          <w:color w:val="000000" w:themeColor="text1"/>
          <w:sz w:val="36"/>
          <w:szCs w:val="36"/>
          <w:lang w:val="en-US" w:eastAsia="zh-Hans"/>
          <w14:textFill>
            <w14:solidFill>
              <w14:schemeClr w14:val="tx1"/>
            </w14:solidFill>
          </w14:textFill>
        </w:rPr>
        <w:t>号提案</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272"/>
        <w:gridCol w:w="1643"/>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提案类型</w:t>
            </w:r>
          </w:p>
        </w:tc>
        <w:tc>
          <w:tcPr>
            <w:tcW w:w="677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个人提案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案由</w:t>
            </w:r>
          </w:p>
        </w:tc>
        <w:tc>
          <w:tcPr>
            <w:tcW w:w="677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关于加快未来社区建设，夯实“全民健康”城市基底的提案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第一提案人</w:t>
            </w:r>
          </w:p>
        </w:tc>
        <w:tc>
          <w:tcPr>
            <w:tcW w:w="2272" w:type="dxa"/>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杜勇</w:t>
            </w:r>
          </w:p>
        </w:tc>
        <w:tc>
          <w:tcPr>
            <w:tcW w:w="1643" w:type="dxa"/>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联系电话</w:t>
            </w:r>
          </w:p>
        </w:tc>
        <w:tc>
          <w:tcPr>
            <w:tcW w:w="2861" w:type="dxa"/>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13895655876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提案日期</w:t>
            </w:r>
          </w:p>
        </w:tc>
        <w:tc>
          <w:tcPr>
            <w:tcW w:w="677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2021-01-27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主办单位</w:t>
            </w:r>
          </w:p>
        </w:tc>
        <w:tc>
          <w:tcPr>
            <w:tcW w:w="677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r>
              <w:rPr>
                <w:rFonts w:hint="eastAsia" w:ascii="宋体" w:hAnsi="宋体" w:eastAsia="宋体" w:cs="宋体"/>
                <w:kern w:val="0"/>
                <w:sz w:val="30"/>
                <w:szCs w:val="30"/>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6"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协办单位</w:t>
            </w:r>
          </w:p>
        </w:tc>
        <w:tc>
          <w:tcPr>
            <w:tcW w:w="6776"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宋体" w:hAnsi="宋体" w:eastAsia="宋体" w:cs="宋体"/>
                <w:sz w:val="30"/>
                <w:szCs w:val="30"/>
                <w:vertAlign w:val="baseline"/>
                <w:lang w:val="en-US" w:eastAsia="zh-Hans"/>
              </w:rPr>
            </w:pPr>
            <w:bookmarkStart w:id="0" w:name="_GoBack"/>
            <w:bookmarkEnd w:id="0"/>
            <w:r>
              <w:rPr>
                <w:rFonts w:hint="eastAsia" w:ascii="宋体" w:hAnsi="宋体" w:eastAsia="宋体" w:cs="宋体"/>
                <w:kern w:val="0"/>
                <w:sz w:val="30"/>
                <w:szCs w:val="30"/>
              </w:rPr>
              <w:t>教育厅,工业和信息化厅,财政厅,医疗保障局,</w:t>
            </w:r>
          </w:p>
        </w:tc>
      </w:tr>
    </w:tbl>
    <w:p>
      <w:pPr>
        <w:rPr>
          <w:rFonts w:hint="eastAsia"/>
          <w:sz w:val="30"/>
          <w:szCs w:val="30"/>
          <w:lang w:val="en-US" w:eastAsia="zh-Hans"/>
        </w:rPr>
      </w:pPr>
      <w:r>
        <w:rPr>
          <w:rFonts w:hint="eastAsia"/>
          <w:sz w:val="30"/>
          <w:szCs w:val="30"/>
          <w:lang w:val="en-US" w:eastAsia="zh-Hans"/>
        </w:rPr>
        <w:br w:type="page"/>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4216"/>
        <w:gridCol w:w="3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4" w:type="dxa"/>
            <w:gridSpan w:val="2"/>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意见建议</w:t>
            </w:r>
          </w:p>
        </w:tc>
        <w:tc>
          <w:tcPr>
            <w:tcW w:w="3788"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4734" w:type="dxa"/>
            <w:gridSpan w:val="2"/>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加大社区健康基础设施建设</w:t>
            </w:r>
          </w:p>
        </w:tc>
        <w:tc>
          <w:tcPr>
            <w:tcW w:w="3788" w:type="dxa"/>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未来社区着重解决社区医疗“看得起”但“看不好”，养老设施与服务缺失，健康多元化需求难以满足的痛点。一是未来社区健康场景的实现，首先要依托于健康基础设施的支撑。二是促进居家养老助残服务全覆盖，支持多元化适老住宅、居家养老服务中心、日间照料中心、嵌入式养老机构、老年之家等场所配置。三是创新社区健身服务模式，科学配置智能健身绿道、共享健身仓、虚拟健身设备等运动设施；加强社区保健管理，普及营养膳食、保健理疗等养生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4734" w:type="dxa"/>
            <w:gridSpan w:val="2"/>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推进社区健康信息化建设</w:t>
            </w:r>
            <w:r>
              <w:rPr>
                <w:rFonts w:hint="eastAsia" w:ascii="宋体" w:hAnsi="宋体" w:eastAsia="宋体" w:cs="宋体"/>
                <w:sz w:val="30"/>
                <w:szCs w:val="30"/>
                <w:vertAlign w:val="baseline"/>
                <w:lang w:eastAsia="zh-Hans"/>
              </w:rPr>
              <w:br w:type="textWrapping"/>
            </w:r>
          </w:p>
        </w:tc>
        <w:tc>
          <w:tcPr>
            <w:tcW w:w="3788" w:type="dxa"/>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把社区作为打造大健康的城市基底，把基础健康第一程解决在社区，必须加快信息互联互通进程，发挥居民个人在自我保健、健康管理和健康决策中的作用。一是促进基本健康服务全覆盖，围绕实现全民康养目标，建立全生命周期健康电子档案系统，完善家庭医生签约服务机制。二是推广可穿戴设备等智能终端应用，探索社区健康管理线上到线下（O2O）模式，促进健康大数据互联共享。三是构建名医名院零距离服务机制，探索城市医院与社区医院合作合营，通过远程诊疗、人工智能（AI）诊断、“互联网+护理服务”等方式，促进优质医疗资源普惠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4734" w:type="dxa"/>
            <w:gridSpan w:val="2"/>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将健康管理项目纳入医保范围</w:t>
            </w:r>
          </w:p>
        </w:tc>
        <w:tc>
          <w:tcPr>
            <w:tcW w:w="3788" w:type="dxa"/>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一是可以在医联体、医共体等模式的基础上，探索覆盖更加广泛的“健共体”，并探索“总额预付、节余留用、合理超支分担”的激励约束机制。二是通过绩效考核，强化疾病预防控制机构和基层卫生机构的健康教育与健康管理职能与责任；鼓励、引导社会力量参与“健共体”建设，不断降低成本、提高绩效。三是可将人均居民公共卫生经费的一定比例用于健康教育与健康管理，并将健康管理项目加入医保范围，通过健康教育、健康管理来控制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4734" w:type="dxa"/>
            <w:gridSpan w:val="2"/>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加大力度培训健康管理师。</w:t>
            </w:r>
          </w:p>
        </w:tc>
        <w:tc>
          <w:tcPr>
            <w:tcW w:w="3788" w:type="dxa"/>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一是加强卫生管理部门与医学教育部门的协同机制，引导并鼓励高等院校开设健康管理相关专业，以培养高素质健康管理师为目标，加大健康管理师学历教育。二是加大政府采购健康管理服务力度，推行专科医师、全科医师、健康管理师 “三师共管”模式，构建完善健康管理师培训体系。三是加大健康管理师招生就业宣传，吸引更多优秀人才从事健康管理工作；完善健康管理师的培养与考核机制，多措并举提高健康管理师培养水平。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4" w:hRule="atLeast"/>
        </w:trPr>
        <w:tc>
          <w:tcPr>
            <w:tcW w:w="518" w:type="dxa"/>
            <w:vAlign w:val="center"/>
          </w:tcPr>
          <w:p>
            <w:pPr>
              <w:jc w:val="center"/>
              <w:rPr>
                <w:rFonts w:hint="eastAsia" w:ascii="宋体" w:hAnsi="宋体" w:eastAsia="宋体" w:cs="宋体"/>
                <w:sz w:val="30"/>
                <w:szCs w:val="30"/>
                <w:vertAlign w:val="baseline"/>
                <w:lang w:val="en-US" w:eastAsia="zh-Hans"/>
              </w:rPr>
            </w:pPr>
            <w:r>
              <w:rPr>
                <w:rFonts w:hint="eastAsia" w:ascii="宋体" w:hAnsi="宋体" w:eastAsia="宋体" w:cs="宋体"/>
                <w:sz w:val="30"/>
                <w:szCs w:val="30"/>
                <w:vertAlign w:val="baseline"/>
                <w:lang w:val="en-US" w:eastAsia="zh-Hans"/>
              </w:rPr>
              <w:t>背景材料</w:t>
            </w:r>
          </w:p>
        </w:tc>
        <w:tc>
          <w:tcPr>
            <w:tcW w:w="8004" w:type="dxa"/>
            <w:gridSpan w:val="2"/>
            <w:vAlign w:val="center"/>
          </w:tcPr>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宋体" w:hAnsi="宋体" w:eastAsia="宋体" w:cs="宋体"/>
                <w:sz w:val="30"/>
                <w:szCs w:val="30"/>
                <w:vertAlign w:val="baseline"/>
                <w:lang w:eastAsia="zh-Hans"/>
              </w:rPr>
            </w:pPr>
            <w:r>
              <w:rPr>
                <w:rFonts w:hint="eastAsia" w:ascii="宋体" w:hAnsi="宋体" w:eastAsia="宋体" w:cs="宋体"/>
                <w:sz w:val="30"/>
                <w:szCs w:val="30"/>
                <w:vertAlign w:val="baseline"/>
                <w:lang w:eastAsia="zh-Hans"/>
              </w:rPr>
              <w:t>自治区党委十二届十二次全会报告中明确指出，2019年宁夏人均预期寿命为76岁，低于全国77.3岁的平均水平，要求全方位全周期维护和保障人民健康，争取“十四五”末人均预期寿命基本达到全国平均水平。这一要求与《健康中国行动(2019-2030年)》加快推动卫生健康事业由发展“医疗”为主，向重视全生命周期的“健康”转变是相适应。社区作为承载健康人群、健康环境、健康社会的基础单元，在这一转变过程中具有决定性作用。</w:t>
            </w:r>
          </w:p>
        </w:tc>
      </w:tr>
    </w:tbl>
    <w:p>
      <w:pPr>
        <w:rPr>
          <w:rFonts w:hint="eastAsia"/>
          <w:sz w:val="30"/>
          <w:szCs w:val="30"/>
          <w:lang w:val="en-US"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F6289"/>
    <w:rsid w:val="0C021D69"/>
    <w:rsid w:val="0C682A23"/>
    <w:rsid w:val="11C55175"/>
    <w:rsid w:val="147214DB"/>
    <w:rsid w:val="192F1400"/>
    <w:rsid w:val="1DBF7528"/>
    <w:rsid w:val="20685F27"/>
    <w:rsid w:val="21BF3425"/>
    <w:rsid w:val="22BA0A3B"/>
    <w:rsid w:val="2BEB4E8C"/>
    <w:rsid w:val="2E4D6A32"/>
    <w:rsid w:val="36106D62"/>
    <w:rsid w:val="39863694"/>
    <w:rsid w:val="39B92D5C"/>
    <w:rsid w:val="3ABF00A0"/>
    <w:rsid w:val="3B9E439E"/>
    <w:rsid w:val="3FDF6289"/>
    <w:rsid w:val="47A142A5"/>
    <w:rsid w:val="488604B3"/>
    <w:rsid w:val="48B84069"/>
    <w:rsid w:val="4FF95A47"/>
    <w:rsid w:val="559A7C5D"/>
    <w:rsid w:val="57C93034"/>
    <w:rsid w:val="60D349E0"/>
    <w:rsid w:val="669A162D"/>
    <w:rsid w:val="6D4721D2"/>
    <w:rsid w:val="73224BA9"/>
    <w:rsid w:val="75F1226E"/>
    <w:rsid w:val="79276FB7"/>
    <w:rsid w:val="7C5E22F1"/>
    <w:rsid w:val="7EF01E27"/>
    <w:rsid w:val="97F21391"/>
    <w:rsid w:val="FB4F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2020-09-18T11:56:00Z</dcterms:created>
  <dc:creator>tankaizhong</dc:creator>
  <cp:lastModifiedBy>刘伟</cp:lastModifiedBy>
  <dcterms:modified xsi:type="dcterms:W3CDTF">2021-04-19T07:38:28Z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