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sz w:val="32"/>
          <w:lang w:val="en-US" w:eastAsia="zh-CN"/>
        </w:rPr>
      </w:pPr>
      <w:r>
        <w:rPr>
          <w:rFonts w:hint="eastAsia" w:ascii="黑体" w:hAnsi="黑体" w:eastAsia="黑体" w:cs="黑体"/>
          <w:b w:val="0"/>
          <w:bCs/>
          <w:sz w:val="32"/>
          <w:lang w:val="en-US" w:eastAsia="zh-CN"/>
        </w:rPr>
        <w:t>附件3</w:t>
      </w:r>
    </w:p>
    <w:p>
      <w:pPr>
        <w:jc w:val="center"/>
        <w:rPr>
          <w:rFonts w:hint="eastAsia" w:ascii="方正小标宋简体" w:hAnsi="方正小标宋简体" w:eastAsia="方正小标宋简体" w:cs="方正小标宋简体"/>
          <w:b w:val="0"/>
          <w:bCs/>
          <w:sz w:val="32"/>
          <w:lang w:val="en-US"/>
        </w:rPr>
      </w:pPr>
      <w:r>
        <w:rPr>
          <w:rFonts w:hint="eastAsia" w:ascii="方正小标宋简体" w:hAnsi="方正小标宋简体" w:eastAsia="方正小标宋简体" w:cs="方正小标宋简体"/>
          <w:b w:val="0"/>
          <w:bCs/>
          <w:sz w:val="36"/>
          <w:szCs w:val="36"/>
          <w:lang w:val="en-US" w:eastAsia="zh-CN"/>
        </w:rPr>
        <w:t>咸阳市医保特殊管理</w:t>
      </w:r>
      <w:bookmarkStart w:id="0" w:name="_GoBack"/>
      <w:bookmarkEnd w:id="0"/>
      <w:r>
        <w:rPr>
          <w:rFonts w:hint="eastAsia" w:ascii="方正小标宋简体" w:hAnsi="方正小标宋简体" w:eastAsia="方正小标宋简体" w:cs="方正小标宋简体"/>
          <w:b w:val="0"/>
          <w:bCs/>
          <w:sz w:val="36"/>
          <w:szCs w:val="36"/>
          <w:lang w:val="en-US" w:eastAsia="zh-CN"/>
        </w:rPr>
        <w:t>药品名单</w:t>
      </w:r>
    </w:p>
    <w:tbl>
      <w:tblPr>
        <w:tblStyle w:val="5"/>
        <w:tblW w:w="14717" w:type="dxa"/>
        <w:tblInd w:w="-6" w:type="dxa"/>
        <w:tblLayout w:type="fixed"/>
        <w:tblCellMar>
          <w:top w:w="0" w:type="dxa"/>
          <w:left w:w="108" w:type="dxa"/>
          <w:bottom w:w="0" w:type="dxa"/>
          <w:right w:w="108" w:type="dxa"/>
        </w:tblCellMar>
      </w:tblPr>
      <w:tblGrid>
        <w:gridCol w:w="741"/>
        <w:gridCol w:w="894"/>
        <w:gridCol w:w="891"/>
        <w:gridCol w:w="4809"/>
        <w:gridCol w:w="765"/>
        <w:gridCol w:w="2610"/>
        <w:gridCol w:w="4007"/>
      </w:tblGrid>
      <w:tr>
        <w:tblPrEx>
          <w:tblLayout w:type="fixed"/>
          <w:tblCellMar>
            <w:top w:w="0" w:type="dxa"/>
            <w:left w:w="108" w:type="dxa"/>
            <w:bottom w:w="0" w:type="dxa"/>
            <w:right w:w="108" w:type="dxa"/>
          </w:tblCellMar>
        </w:tblPrEx>
        <w:trPr>
          <w:trHeight w:val="499" w:hRule="atLeast"/>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序号</w:t>
            </w:r>
          </w:p>
        </w:tc>
        <w:tc>
          <w:tcPr>
            <w:tcW w:w="8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通用名</w:t>
            </w:r>
          </w:p>
        </w:tc>
        <w:tc>
          <w:tcPr>
            <w:tcW w:w="8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剂型</w:t>
            </w:r>
          </w:p>
        </w:tc>
        <w:tc>
          <w:tcPr>
            <w:tcW w:w="48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适用范围</w:t>
            </w:r>
          </w:p>
        </w:tc>
        <w:tc>
          <w:tcPr>
            <w:tcW w:w="7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分类</w:t>
            </w:r>
          </w:p>
        </w:tc>
        <w:tc>
          <w:tcPr>
            <w:tcW w:w="26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适用病种</w:t>
            </w:r>
          </w:p>
        </w:tc>
        <w:tc>
          <w:tcPr>
            <w:tcW w:w="40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申报材料</w:t>
            </w:r>
          </w:p>
        </w:tc>
      </w:tr>
      <w:tr>
        <w:tblPrEx>
          <w:tblLayout w:type="fixed"/>
          <w:tblCellMar>
            <w:top w:w="0" w:type="dxa"/>
            <w:left w:w="108" w:type="dxa"/>
            <w:bottom w:w="0" w:type="dxa"/>
            <w:right w:w="108" w:type="dxa"/>
          </w:tblCellMar>
        </w:tblPrEx>
        <w:trPr>
          <w:trHeight w:val="495" w:hRule="atLeast"/>
        </w:trPr>
        <w:tc>
          <w:tcPr>
            <w:tcW w:w="7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曲</w:t>
            </w:r>
            <w:r>
              <w:rPr>
                <w:rFonts w:hint="eastAsia" w:asciiTheme="minorEastAsia" w:hAnsiTheme="minorEastAsia" w:eastAsiaTheme="minorEastAsia" w:cstheme="minorEastAsia"/>
                <w:color w:val="000000"/>
                <w:kern w:val="0"/>
                <w:sz w:val="21"/>
                <w:szCs w:val="21"/>
              </w:rPr>
              <w:t>妥珠单抗</w:t>
            </w:r>
          </w:p>
        </w:tc>
        <w:tc>
          <w:tcPr>
            <w:tcW w:w="89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注射剂</w:t>
            </w:r>
          </w:p>
        </w:tc>
        <w:tc>
          <w:tcPr>
            <w:tcW w:w="48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限以下情况方可支付：l.HER2阳性的乳腺癌手术 后患者，支付不超过12个月。2.HER2阳性的转 移性乳腺癌。3.HER2阳性的晚期转移性胃癌。</w:t>
            </w: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抗肿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瘤药</w:t>
            </w:r>
          </w:p>
        </w:tc>
        <w:tc>
          <w:tcPr>
            <w:tcW w:w="26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乳腺癌</w:t>
            </w:r>
          </w:p>
        </w:tc>
        <w:tc>
          <w:tcPr>
            <w:tcW w:w="400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l.病理报告2影像学检查报告3.HER2阳 性（免疫组化3＋或FISH检查阳性） 4.入院记录5.出院小结6.诊断证明</w:t>
            </w:r>
          </w:p>
        </w:tc>
      </w:tr>
      <w:tr>
        <w:tblPrEx>
          <w:tblLayout w:type="fixed"/>
          <w:tblCellMar>
            <w:top w:w="0" w:type="dxa"/>
            <w:left w:w="108" w:type="dxa"/>
            <w:bottom w:w="0" w:type="dxa"/>
            <w:right w:w="108" w:type="dxa"/>
          </w:tblCellMar>
        </w:tblPrEx>
        <w:trPr>
          <w:trHeight w:val="495" w:hRule="atLeast"/>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nil"/>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645" w:hRule="atLeast"/>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nil"/>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胃癌</w:t>
            </w:r>
          </w:p>
        </w:tc>
        <w:tc>
          <w:tcPr>
            <w:tcW w:w="400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贝伐珠单抗</w:t>
            </w:r>
          </w:p>
        </w:tc>
        <w:tc>
          <w:tcPr>
            <w:tcW w:w="89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注射剂</w:t>
            </w:r>
          </w:p>
        </w:tc>
        <w:tc>
          <w:tcPr>
            <w:tcW w:w="48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限晚期转移性结直肠癌或晚期非鳞非小细胞肺癌。</w:t>
            </w: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抗肿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瘤药</w:t>
            </w:r>
          </w:p>
        </w:tc>
        <w:tc>
          <w:tcPr>
            <w:tcW w:w="26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转移性结直肠癌</w:t>
            </w:r>
          </w:p>
        </w:tc>
        <w:tc>
          <w:tcPr>
            <w:tcW w:w="400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l.病理报告2.影像学检查报告3.入院记录4.出院小结5诊断证明</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nil"/>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270" w:hRule="atLeast"/>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nil"/>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非鳞非小细胞肺癌</w:t>
            </w:r>
          </w:p>
        </w:tc>
        <w:tc>
          <w:tcPr>
            <w:tcW w:w="400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1.病理报告2影像学检查报告3.入院记录4.出院小结5.诊断证明</w:t>
            </w:r>
          </w:p>
        </w:tc>
      </w:tr>
      <w:tr>
        <w:tblPrEx>
          <w:tblLayout w:type="fixed"/>
          <w:tblCellMar>
            <w:top w:w="0" w:type="dxa"/>
            <w:left w:w="108" w:type="dxa"/>
            <w:bottom w:w="0" w:type="dxa"/>
            <w:right w:w="108" w:type="dxa"/>
          </w:tblCellMar>
        </w:tblPrEx>
        <w:trPr>
          <w:trHeight w:val="312" w:hRule="atLeast"/>
        </w:trPr>
        <w:tc>
          <w:tcPr>
            <w:tcW w:w="7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尼妥珠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单抗</w:t>
            </w:r>
          </w:p>
        </w:tc>
        <w:tc>
          <w:tcPr>
            <w:tcW w:w="89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注射剂</w:t>
            </w:r>
          </w:p>
        </w:tc>
        <w:tc>
          <w:tcPr>
            <w:tcW w:w="48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限与放疗联合治疗表皮生长因子受体（EGFR）表达阳性的Ш／IV期鼻咽癌。</w:t>
            </w: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抗肿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瘤药</w:t>
            </w:r>
          </w:p>
        </w:tc>
        <w:tc>
          <w:tcPr>
            <w:tcW w:w="26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鼻咽癌</w:t>
            </w:r>
          </w:p>
        </w:tc>
        <w:tc>
          <w:tcPr>
            <w:tcW w:w="400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l.病理报告或影像学检查报告2.EGFR阳性表达报告 3.入院记</w:t>
            </w:r>
            <w:r>
              <w:rPr>
                <w:rFonts w:hint="eastAsia" w:asciiTheme="minorEastAsia" w:hAnsiTheme="minorEastAsia" w:eastAsiaTheme="minorEastAsia" w:cstheme="minorEastAsia"/>
                <w:color w:val="auto"/>
                <w:kern w:val="0"/>
                <w:sz w:val="21"/>
                <w:szCs w:val="21"/>
                <w:lang w:val="en-US" w:eastAsia="zh-CN"/>
              </w:rPr>
              <w:t xml:space="preserve">录 </w:t>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.出</w:t>
            </w:r>
            <w:r>
              <w:rPr>
                <w:rFonts w:hint="eastAsia" w:asciiTheme="minorEastAsia" w:hAnsiTheme="minorEastAsia" w:eastAsiaTheme="minorEastAsia" w:cstheme="minorEastAsia"/>
                <w:color w:val="auto"/>
                <w:kern w:val="0"/>
                <w:sz w:val="21"/>
                <w:szCs w:val="21"/>
              </w:rPr>
              <w:t>院小结5.诊断证明（放疗联合治疗方案）</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nil"/>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585" w:hRule="atLeast"/>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nil"/>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89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利妥</w:t>
            </w:r>
            <w:r>
              <w:rPr>
                <w:rFonts w:hint="eastAsia" w:asciiTheme="minorEastAsia" w:hAnsiTheme="minorEastAsia" w:eastAsiaTheme="minorEastAsia" w:cstheme="minorEastAsia"/>
                <w:color w:val="000000"/>
                <w:kern w:val="0"/>
                <w:sz w:val="21"/>
                <w:szCs w:val="21"/>
                <w:lang w:val="en-US" w:eastAsia="zh-CN"/>
              </w:rPr>
              <w:t>昔</w:t>
            </w:r>
            <w:r>
              <w:rPr>
                <w:rFonts w:hint="eastAsia" w:asciiTheme="minorEastAsia" w:hAnsiTheme="minorEastAsia" w:eastAsiaTheme="minorEastAsia" w:cstheme="minorEastAsia"/>
                <w:color w:val="000000"/>
                <w:kern w:val="0"/>
                <w:sz w:val="21"/>
                <w:szCs w:val="21"/>
              </w:rPr>
              <w:t>单抗</w:t>
            </w:r>
          </w:p>
        </w:tc>
        <w:tc>
          <w:tcPr>
            <w:tcW w:w="89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注射剂</w:t>
            </w:r>
          </w:p>
        </w:tc>
        <w:tc>
          <w:tcPr>
            <w:tcW w:w="48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限复发或耐药的滤泡性中央型淋</w:t>
            </w:r>
            <w:r>
              <w:rPr>
                <w:rFonts w:hint="eastAsia" w:asciiTheme="minorEastAsia" w:hAnsiTheme="minorEastAsia" w:eastAsiaTheme="minorEastAsia" w:cstheme="minorEastAsia"/>
                <w:color w:val="auto"/>
                <w:kern w:val="0"/>
                <w:sz w:val="21"/>
                <w:szCs w:val="21"/>
                <w:lang w:val="en-US" w:eastAsia="zh-CN"/>
              </w:rPr>
              <w:t>巴</w:t>
            </w:r>
            <w:r>
              <w:rPr>
                <w:rFonts w:hint="eastAsia" w:asciiTheme="minorEastAsia" w:hAnsiTheme="minorEastAsia" w:eastAsiaTheme="minorEastAsia" w:cstheme="minorEastAsia"/>
                <w:color w:val="auto"/>
                <w:kern w:val="0"/>
                <w:sz w:val="21"/>
                <w:szCs w:val="21"/>
              </w:rPr>
              <w:t>瘤（国际工作分类</w:t>
            </w:r>
            <w:r>
              <w:rPr>
                <w:rFonts w:hint="eastAsia" w:asciiTheme="minorEastAsia" w:hAnsiTheme="minorEastAsia" w:eastAsiaTheme="minorEastAsia" w:cstheme="minorEastAsia"/>
                <w:color w:val="auto"/>
                <w:kern w:val="0"/>
                <w:sz w:val="21"/>
                <w:szCs w:val="21"/>
                <w:lang w:val="en-US" w:eastAsia="zh-CN"/>
              </w:rPr>
              <w:t>B</w:t>
            </w:r>
            <w:r>
              <w:rPr>
                <w:rFonts w:hint="eastAsia" w:asciiTheme="minorEastAsia" w:hAnsiTheme="minorEastAsia" w:eastAsiaTheme="minorEastAsia" w:cstheme="minorEastAsia"/>
                <w:color w:val="auto"/>
                <w:kern w:val="0"/>
                <w:sz w:val="21"/>
                <w:szCs w:val="21"/>
              </w:rPr>
              <w:t>、C和D亚型的B细胞非霍奇金淋巴瘤）CD20阳性Ш－IV期滤泡性非霍奇金淋巴瘤，CD20 阳性弥漫大B细胞性非霍奇金淋巴瘤；最多支付 8个疗程。</w:t>
            </w: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抗肿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瘤药</w:t>
            </w:r>
          </w:p>
        </w:tc>
        <w:tc>
          <w:tcPr>
            <w:tcW w:w="261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24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弥漫大B细胞性非霍奇金淋巴瘤</w:t>
            </w:r>
          </w:p>
        </w:tc>
        <w:tc>
          <w:tcPr>
            <w:tcW w:w="400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l.病理报告2.免疫组化：CD20阳性3.入院记录4.出院小结5.诊断证明</w:t>
            </w:r>
          </w:p>
        </w:tc>
      </w:tr>
      <w:tr>
        <w:tblPrEx>
          <w:tblLayout w:type="fixed"/>
          <w:tblCellMar>
            <w:top w:w="0" w:type="dxa"/>
            <w:left w:w="108" w:type="dxa"/>
            <w:bottom w:w="0" w:type="dxa"/>
            <w:right w:w="108" w:type="dxa"/>
          </w:tblCellMar>
        </w:tblPrEx>
        <w:trPr>
          <w:trHeight w:val="689" w:hRule="atLeast"/>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nil"/>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nil"/>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滤泡性非霍奇金淋巴瘤</w:t>
            </w:r>
          </w:p>
        </w:tc>
        <w:tc>
          <w:tcPr>
            <w:tcW w:w="400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24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l.病理报告2.免疫组化：CD20阳性3.入院 记录4.出院小结5诊断证明</w:t>
            </w:r>
          </w:p>
        </w:tc>
      </w:tr>
      <w:tr>
        <w:tblPrEx>
          <w:tblLayout w:type="fixed"/>
          <w:tblCellMar>
            <w:top w:w="0" w:type="dxa"/>
            <w:left w:w="108" w:type="dxa"/>
            <w:bottom w:w="0" w:type="dxa"/>
            <w:right w:w="108" w:type="dxa"/>
          </w:tblCellMar>
        </w:tblPrEx>
        <w:trPr>
          <w:trHeight w:val="377" w:hRule="atLeast"/>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nil"/>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874" w:hRule="atLeast"/>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nil"/>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滤泡性中央型淋巴瘤</w:t>
            </w:r>
          </w:p>
        </w:tc>
        <w:tc>
          <w:tcPr>
            <w:tcW w:w="400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1.病理报告2.人院记录3.出院小结4.诊断证明</w:t>
            </w:r>
          </w:p>
        </w:tc>
      </w:tr>
      <w:tr>
        <w:tblPrEx>
          <w:tblLayout w:type="fixed"/>
          <w:tblCellMar>
            <w:top w:w="0" w:type="dxa"/>
            <w:left w:w="108" w:type="dxa"/>
            <w:bottom w:w="0" w:type="dxa"/>
            <w:right w:w="108" w:type="dxa"/>
          </w:tblCellMar>
        </w:tblPrEx>
        <w:trPr>
          <w:trHeight w:val="312" w:hRule="atLeast"/>
        </w:trPr>
        <w:tc>
          <w:tcPr>
            <w:tcW w:w="7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8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厄洛 替尼</w:t>
            </w:r>
          </w:p>
        </w:tc>
        <w:tc>
          <w:tcPr>
            <w:tcW w:w="89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口服常释剂型</w:t>
            </w:r>
          </w:p>
        </w:tc>
        <w:tc>
          <w:tcPr>
            <w:tcW w:w="48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限EGFR基因敏感突变的晚期非小细胞肺癌</w:t>
            </w:r>
            <w:r>
              <w:rPr>
                <w:rFonts w:hint="eastAsia" w:asciiTheme="minorEastAsia" w:hAnsiTheme="minorEastAsia" w:eastAsiaTheme="minorEastAsia" w:cstheme="minorEastAsia"/>
                <w:color w:val="000000"/>
                <w:kern w:val="0"/>
                <w:sz w:val="21"/>
                <w:szCs w:val="21"/>
                <w:lang w:eastAsia="zh-CN"/>
              </w:rPr>
              <w:t>。</w:t>
            </w: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抗肿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瘤药</w:t>
            </w:r>
          </w:p>
        </w:tc>
        <w:tc>
          <w:tcPr>
            <w:tcW w:w="26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非小细胞肺癌</w:t>
            </w:r>
          </w:p>
        </w:tc>
        <w:tc>
          <w:tcPr>
            <w:tcW w:w="400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1.病理报告2.EGFR基因敏感突变3.入院记录4.出院小结5.诊断证明</w:t>
            </w:r>
          </w:p>
        </w:tc>
      </w:tr>
      <w:tr>
        <w:tblPrEx>
          <w:tblLayout w:type="fixed"/>
          <w:tblCellMar>
            <w:top w:w="0" w:type="dxa"/>
            <w:left w:w="108" w:type="dxa"/>
            <w:bottom w:w="0" w:type="dxa"/>
            <w:right w:w="108" w:type="dxa"/>
          </w:tblCellMar>
        </w:tblPrEx>
        <w:trPr>
          <w:trHeight w:val="497" w:hRule="atLeast"/>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nil"/>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nil"/>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lang w:val="en-US" w:eastAsia="zh-CN"/>
              </w:rPr>
            </w:pPr>
          </w:p>
          <w:p>
            <w:pPr>
              <w:widowControl/>
              <w:jc w:val="center"/>
              <w:rPr>
                <w:rFonts w:hint="eastAsia" w:asciiTheme="minorEastAsia" w:hAnsiTheme="minorEastAsia" w:eastAsiaTheme="minorEastAsia" w:cstheme="minorEastAsia"/>
                <w:color w:val="000000"/>
                <w:kern w:val="0"/>
                <w:sz w:val="21"/>
                <w:szCs w:val="21"/>
                <w:lang w:val="en-US" w:eastAsia="zh-CN"/>
              </w:rPr>
            </w:pPr>
          </w:p>
          <w:p>
            <w:pPr>
              <w:widowControl/>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6</w:t>
            </w:r>
          </w:p>
          <w:p>
            <w:pPr>
              <w:widowControl/>
              <w:jc w:val="center"/>
              <w:rPr>
                <w:rFonts w:hint="eastAsia" w:asciiTheme="minorEastAsia" w:hAnsiTheme="minorEastAsia" w:eastAsiaTheme="minorEastAsia" w:cstheme="minorEastAsia"/>
                <w:color w:val="000000"/>
                <w:kern w:val="0"/>
                <w:sz w:val="21"/>
                <w:szCs w:val="21"/>
              </w:rPr>
            </w:pPr>
          </w:p>
          <w:p>
            <w:pPr>
              <w:widowControl/>
              <w:jc w:val="center"/>
              <w:rPr>
                <w:rFonts w:hint="eastAsia" w:asciiTheme="minorEastAsia" w:hAnsiTheme="minorEastAsia" w:eastAsiaTheme="minorEastAsia" w:cstheme="minorEastAsia"/>
                <w:color w:val="000000"/>
                <w:kern w:val="0"/>
                <w:sz w:val="21"/>
                <w:szCs w:val="21"/>
              </w:rPr>
            </w:pP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索拉</w:t>
            </w:r>
          </w:p>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非尼</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口服常释</w:t>
            </w:r>
            <w:r>
              <w:rPr>
                <w:rFonts w:hint="eastAsia" w:asciiTheme="minorEastAsia" w:hAnsiTheme="minorEastAsia" w:eastAsiaTheme="minorEastAsia" w:cstheme="minorEastAsia"/>
                <w:color w:val="000000"/>
                <w:kern w:val="0"/>
                <w:sz w:val="21"/>
                <w:szCs w:val="21"/>
                <w:lang w:val="en-US" w:eastAsia="zh-CN"/>
              </w:rPr>
              <w:t>剂</w:t>
            </w:r>
            <w:r>
              <w:rPr>
                <w:rFonts w:hint="eastAsia" w:asciiTheme="minorEastAsia" w:hAnsiTheme="minorEastAsia" w:eastAsiaTheme="minorEastAsia" w:cstheme="minorEastAsia"/>
                <w:color w:val="000000"/>
                <w:kern w:val="0"/>
                <w:sz w:val="21"/>
                <w:szCs w:val="21"/>
              </w:rPr>
              <w:t>型</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限以下情况方可支付：l</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不能手术的肾细胞癌。2. 不能手术或远处转移的肝细胞癌。3.放射性腆治疗无效的局部复发或转移性、分化型甲状腺癌。</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抗肿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瘤药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肾细胞癌</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1.病理报告2.入院记录3.出院小结4.影像学检查报告5.诊断证明</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270"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肝细胞癌</w:t>
            </w:r>
          </w:p>
        </w:tc>
        <w:tc>
          <w:tcPr>
            <w:tcW w:w="40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1.病理报告或影像学检查报告2.入院记录3.出院小结4.诊断证明</w:t>
            </w:r>
          </w:p>
        </w:tc>
      </w:tr>
      <w:tr>
        <w:tblPrEx>
          <w:tblLayout w:type="fixed"/>
          <w:tblCellMar>
            <w:top w:w="0" w:type="dxa"/>
            <w:left w:w="108" w:type="dxa"/>
            <w:bottom w:w="0" w:type="dxa"/>
            <w:right w:w="108" w:type="dxa"/>
          </w:tblCellMar>
        </w:tblPrEx>
        <w:trPr>
          <w:trHeight w:val="720"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分化型甲状腺癌</w:t>
            </w:r>
          </w:p>
        </w:tc>
        <w:tc>
          <w:tcPr>
            <w:tcW w:w="40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1.病理报告或影像学检查报告2.入院记录 3.出院小结4.诊断证明</w:t>
            </w: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拉帕 替尼</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口服常释剂型</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限HER2过表达且既往接受过包括</w:t>
            </w:r>
            <w:r>
              <w:rPr>
                <w:rFonts w:hint="eastAsia" w:asciiTheme="minorEastAsia" w:hAnsiTheme="minorEastAsia" w:eastAsiaTheme="minorEastAsia" w:cstheme="minorEastAsia"/>
                <w:color w:val="000000"/>
                <w:kern w:val="0"/>
                <w:sz w:val="21"/>
                <w:szCs w:val="21"/>
                <w:lang w:val="en-US" w:eastAsia="zh-CN"/>
              </w:rPr>
              <w:t>蒽</w:t>
            </w:r>
            <w:r>
              <w:rPr>
                <w:rFonts w:hint="eastAsia" w:asciiTheme="minorEastAsia" w:hAnsiTheme="minorEastAsia" w:eastAsiaTheme="minorEastAsia" w:cstheme="minorEastAsia"/>
                <w:color w:val="000000"/>
                <w:kern w:val="0"/>
                <w:sz w:val="21"/>
                <w:szCs w:val="21"/>
              </w:rPr>
              <w:t>环类、紫杉醇、曲妥珠单抗治疗的晚期或转移性乳腺癌。</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抗肿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瘤药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乳腺癌</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1.病理报告2.HER2过度表达（免疫组化3+ 或FISH检查阳性） 3.入院记录4.出院小结 5.诊断证明6.病历资料</w:t>
            </w:r>
            <w:r>
              <w:rPr>
                <w:rFonts w:hint="eastAsia" w:asciiTheme="minorEastAsia" w:hAnsiTheme="minorEastAsia" w:eastAsiaTheme="minorEastAsia" w:cstheme="minorEastAsia"/>
                <w:color w:val="auto"/>
                <w:kern w:val="0"/>
                <w:sz w:val="21"/>
                <w:szCs w:val="21"/>
              </w:rPr>
              <w:t>含</w:t>
            </w:r>
            <w:r>
              <w:rPr>
                <w:rFonts w:hint="eastAsia" w:asciiTheme="minorEastAsia" w:hAnsiTheme="minorEastAsia" w:eastAsiaTheme="minorEastAsia" w:cstheme="minorEastAsia"/>
                <w:color w:val="auto"/>
                <w:kern w:val="0"/>
                <w:sz w:val="21"/>
                <w:szCs w:val="21"/>
                <w:lang w:val="en-US" w:eastAsia="zh-CN"/>
              </w:rPr>
              <w:t>蒽</w:t>
            </w:r>
            <w:r>
              <w:rPr>
                <w:rFonts w:hint="eastAsia" w:asciiTheme="minorEastAsia" w:hAnsiTheme="minorEastAsia" w:eastAsiaTheme="minorEastAsia" w:cstheme="minorEastAsia"/>
                <w:color w:val="auto"/>
                <w:kern w:val="0"/>
                <w:sz w:val="21"/>
                <w:szCs w:val="21"/>
              </w:rPr>
              <w:t>环类、紫</w:t>
            </w:r>
            <w:r>
              <w:rPr>
                <w:rFonts w:hint="eastAsia" w:asciiTheme="minorEastAsia" w:hAnsiTheme="minorEastAsia" w:eastAsiaTheme="minorEastAsia" w:cstheme="minorEastAsia"/>
                <w:color w:val="000000"/>
                <w:kern w:val="0"/>
                <w:sz w:val="21"/>
                <w:szCs w:val="21"/>
              </w:rPr>
              <w:t>杉醇、曲妥珠单抗的用药记录</w:t>
            </w:r>
            <w:r>
              <w:rPr>
                <w:rFonts w:hint="eastAsia" w:asciiTheme="minorEastAsia" w:hAnsiTheme="minorEastAsia" w:eastAsiaTheme="minorEastAsia" w:cstheme="minorEastAsia"/>
                <w:color w:val="000000"/>
                <w:kern w:val="0"/>
                <w:sz w:val="21"/>
                <w:szCs w:val="21"/>
                <w:lang w:eastAsia="zh-CN"/>
              </w:rPr>
              <w:t>。</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498"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阿帕</w:t>
            </w:r>
          </w:p>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替尼</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口服常释剂型</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限既往至少接受过2种系统化疗后进展或复发的 晚期胃腺癌或胃</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食管结合部腺癌患者。</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抗肿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瘤药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胃腺癌</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1.病理报告或影像学检查报告2.入</w:t>
            </w:r>
            <w:r>
              <w:rPr>
                <w:rFonts w:hint="eastAsia" w:asciiTheme="minorEastAsia" w:hAnsiTheme="minorEastAsia" w:eastAsiaTheme="minorEastAsia" w:cstheme="minorEastAsia"/>
                <w:color w:val="000000"/>
                <w:kern w:val="0"/>
                <w:sz w:val="21"/>
                <w:szCs w:val="21"/>
                <w:lang w:val="en-US" w:eastAsia="zh-CN"/>
              </w:rPr>
              <w:t>院</w:t>
            </w:r>
            <w:r>
              <w:rPr>
                <w:rFonts w:hint="eastAsia" w:asciiTheme="minorEastAsia" w:hAnsiTheme="minorEastAsia" w:eastAsiaTheme="minorEastAsia" w:cstheme="minorEastAsia"/>
                <w:color w:val="000000"/>
                <w:kern w:val="0"/>
                <w:sz w:val="21"/>
                <w:szCs w:val="21"/>
              </w:rPr>
              <w:t>记录3.出院小结4.诊断证明</w:t>
            </w:r>
          </w:p>
        </w:tc>
      </w:tr>
      <w:tr>
        <w:tblPrEx>
          <w:tblLayout w:type="fixed"/>
          <w:tblCellMar>
            <w:top w:w="0" w:type="dxa"/>
            <w:left w:w="108" w:type="dxa"/>
            <w:bottom w:w="0" w:type="dxa"/>
            <w:right w:w="108" w:type="dxa"/>
          </w:tblCellMar>
        </w:tblPrEx>
        <w:trPr>
          <w:trHeight w:val="424"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1080"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胃－食管结合部腺癌</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1.病理报告或影像学检查报告2.入院记录3.出院小结4.诊断证明5.既往至少接受过 2种系统化疗后进展或复发的病史记录</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硼</w:t>
            </w:r>
            <w:r>
              <w:rPr>
                <w:rFonts w:hint="eastAsia" w:asciiTheme="minorEastAsia" w:hAnsiTheme="minorEastAsia" w:eastAsiaTheme="minorEastAsia" w:cstheme="minorEastAsia"/>
                <w:color w:val="000000"/>
                <w:kern w:val="0"/>
                <w:sz w:val="21"/>
                <w:szCs w:val="21"/>
              </w:rPr>
              <w:t>替</w:t>
            </w:r>
          </w:p>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佐米</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注射剂</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限多发性骨髓瘤、复发或难治性套细胞淋巴瘤患 者，并满足以下条件：l每2个疗程需提供治疗有效的证据后方可继续支付；2由三级医院血液专科或血液专科医院医师处方；3.与来那度</w:t>
            </w:r>
            <w:r>
              <w:rPr>
                <w:rFonts w:hint="eastAsia" w:asciiTheme="minorEastAsia" w:hAnsiTheme="minorEastAsia" w:eastAsiaTheme="minorEastAsia" w:cstheme="minorEastAsia"/>
                <w:color w:val="000000"/>
                <w:kern w:val="0"/>
                <w:sz w:val="21"/>
                <w:szCs w:val="21"/>
                <w:lang w:val="en-US" w:eastAsia="zh-CN"/>
              </w:rPr>
              <w:t>胺</w:t>
            </w:r>
            <w:r>
              <w:rPr>
                <w:rFonts w:hint="eastAsia" w:asciiTheme="minorEastAsia" w:hAnsiTheme="minorEastAsia" w:eastAsiaTheme="minorEastAsia" w:cstheme="minorEastAsia"/>
                <w:color w:val="000000"/>
                <w:kern w:val="0"/>
                <w:sz w:val="21"/>
                <w:szCs w:val="21"/>
              </w:rPr>
              <w:t>联合使用不予支付。</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抗肿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瘤药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多发性骨髓瘤</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1.骨髓细胞学和（或）病理学检查报告2.入院记录3.出院小结4.诊断证明5.本次 化疗方案</w:t>
            </w:r>
          </w:p>
        </w:tc>
      </w:tr>
      <w:tr>
        <w:tblPrEx>
          <w:tblLayout w:type="fixed"/>
          <w:tblCellMar>
            <w:top w:w="0" w:type="dxa"/>
            <w:left w:w="108" w:type="dxa"/>
            <w:bottom w:w="0" w:type="dxa"/>
            <w:right w:w="108" w:type="dxa"/>
          </w:tblCellMar>
        </w:tblPrEx>
        <w:trPr>
          <w:trHeight w:val="794"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复发或难治性套细胞淋巴瘤</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1.病理报告2入院记录3.出院小结4.诊断证明5.本次化疗方案</w:t>
            </w:r>
          </w:p>
        </w:tc>
      </w:tr>
      <w:tr>
        <w:tblPrEx>
          <w:tblLayout w:type="fixed"/>
          <w:tblCellMar>
            <w:top w:w="0" w:type="dxa"/>
            <w:left w:w="108" w:type="dxa"/>
            <w:bottom w:w="0" w:type="dxa"/>
            <w:right w:w="108" w:type="dxa"/>
          </w:tblCellMar>
        </w:tblPrEx>
        <w:trPr>
          <w:trHeight w:val="954"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10</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重组人血管内皮抑制素</w:t>
            </w:r>
          </w:p>
          <w:p>
            <w:pPr>
              <w:widowControl/>
              <w:jc w:val="center"/>
              <w:rPr>
                <w:rFonts w:hint="eastAsia" w:asciiTheme="minorEastAsia" w:hAnsiTheme="minorEastAsia" w:eastAsiaTheme="minorEastAsia" w:cstheme="minorEastAsia"/>
                <w:color w:val="000000"/>
                <w:kern w:val="0"/>
                <w:sz w:val="21"/>
                <w:szCs w:val="21"/>
              </w:rPr>
            </w:pP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注射剂</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限晚期非小细胞肺癌患者。</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抗肿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瘤药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非小细胞肺癌</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l.病理报告2.影像学检查报告3.入院记录 4.出院小结5.诊断证明</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西达</w:t>
            </w:r>
          </w:p>
          <w:p>
            <w:pPr>
              <w:widowControl/>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本</w:t>
            </w:r>
            <w:r>
              <w:rPr>
                <w:rFonts w:hint="eastAsia" w:asciiTheme="minorEastAsia" w:hAnsiTheme="minorEastAsia" w:eastAsiaTheme="minorEastAsia" w:cstheme="minorEastAsia"/>
                <w:color w:val="000000"/>
                <w:kern w:val="0"/>
                <w:sz w:val="21"/>
                <w:szCs w:val="21"/>
                <w:lang w:val="en-US" w:eastAsia="zh-CN"/>
              </w:rPr>
              <w:t>胺</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口服常释剂型</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限既往至少接受过一次全身化疗的复发或难治的外周T细胞淋巴瘤（PTCL）患者</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抗肿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瘤药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复发或难治的外周T细胞淋巴瘤（PTCL）</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l.病理报告2.</w:t>
            </w:r>
            <w:r>
              <w:rPr>
                <w:rFonts w:hint="eastAsia" w:asciiTheme="minorEastAsia" w:hAnsiTheme="minorEastAsia" w:eastAsiaTheme="minorEastAsia" w:cstheme="minorEastAsia"/>
                <w:color w:val="000000"/>
                <w:kern w:val="0"/>
                <w:sz w:val="21"/>
                <w:szCs w:val="21"/>
                <w:lang w:val="en-US" w:eastAsia="zh-CN"/>
              </w:rPr>
              <w:t>入院记录</w:t>
            </w:r>
            <w:r>
              <w:rPr>
                <w:rFonts w:hint="eastAsia" w:asciiTheme="minorEastAsia" w:hAnsiTheme="minorEastAsia" w:eastAsiaTheme="minorEastAsia" w:cstheme="minorEastAsia"/>
                <w:color w:val="000000"/>
                <w:kern w:val="0"/>
                <w:sz w:val="21"/>
                <w:szCs w:val="21"/>
              </w:rPr>
              <w:t>3</w:t>
            </w:r>
            <w:r>
              <w:rPr>
                <w:rFonts w:hint="eastAsia" w:asciiTheme="minorEastAsia" w:hAnsiTheme="minorEastAsia" w:eastAsiaTheme="minorEastAsia" w:cstheme="minorEastAsia"/>
                <w:color w:val="000000"/>
                <w:kern w:val="0"/>
                <w:sz w:val="21"/>
                <w:szCs w:val="21"/>
                <w:lang w:val="en-US" w:eastAsia="zh-CN"/>
              </w:rPr>
              <w:t>.出院小结</w:t>
            </w:r>
            <w:r>
              <w:rPr>
                <w:rFonts w:hint="eastAsia" w:asciiTheme="minorEastAsia" w:hAnsiTheme="minorEastAsia" w:eastAsiaTheme="minorEastAsia" w:cstheme="minorEastAsia"/>
                <w:color w:val="000000"/>
                <w:kern w:val="0"/>
                <w:sz w:val="21"/>
                <w:szCs w:val="21"/>
              </w:rPr>
              <w:t xml:space="preserve"> 4.诊断证明</w:t>
            </w:r>
            <w:r>
              <w:rPr>
                <w:rFonts w:hint="eastAsia" w:asciiTheme="minorEastAsia" w:hAnsiTheme="minorEastAsia" w:eastAsiaTheme="minorEastAsia" w:cstheme="minorEastAsia"/>
                <w:color w:val="000000"/>
                <w:kern w:val="0"/>
                <w:sz w:val="21"/>
                <w:szCs w:val="21"/>
                <w:lang w:val="en-US" w:eastAsia="zh-CN"/>
              </w:rPr>
              <w:t xml:space="preserve"> 5.既往至少接受过1次全身化疗的病史资料</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41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阿比</w:t>
            </w:r>
          </w:p>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特龙</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口服常释剂型</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限转移性去势抵抗性前列腺癌。</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抗肿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瘤药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转移性去势抵抗性</w:t>
            </w:r>
          </w:p>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前列腺癌</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l.病理报告2.PSA检测3影像学检查报告4.诊断证明</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p>
            <w:pPr>
              <w:widowControl/>
              <w:jc w:val="left"/>
              <w:rPr>
                <w:rFonts w:hint="eastAsia" w:asciiTheme="minorEastAsia" w:hAnsiTheme="minorEastAsia" w:eastAsiaTheme="minorEastAsia" w:cstheme="minorEastAsia"/>
                <w:color w:val="000000"/>
                <w:kern w:val="0"/>
                <w:sz w:val="21"/>
                <w:szCs w:val="21"/>
              </w:rPr>
            </w:pPr>
          </w:p>
          <w:p>
            <w:pPr>
              <w:widowControl/>
              <w:jc w:val="left"/>
              <w:rPr>
                <w:rFonts w:hint="eastAsia" w:asciiTheme="minorEastAsia" w:hAnsiTheme="minorEastAsia" w:eastAsiaTheme="minorEastAsia" w:cstheme="minorEastAsia"/>
                <w:color w:val="000000"/>
                <w:kern w:val="0"/>
                <w:sz w:val="21"/>
                <w:szCs w:val="21"/>
              </w:rPr>
            </w:pPr>
          </w:p>
          <w:p>
            <w:pPr>
              <w:widowControl/>
              <w:jc w:val="left"/>
              <w:rPr>
                <w:rFonts w:hint="eastAsia" w:asciiTheme="minorEastAsia" w:hAnsiTheme="minorEastAsia" w:eastAsiaTheme="minorEastAsia" w:cstheme="minorEastAsia"/>
                <w:color w:val="000000"/>
                <w:kern w:val="0"/>
                <w:sz w:val="21"/>
                <w:szCs w:val="21"/>
              </w:rPr>
            </w:pPr>
          </w:p>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5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氟维</w:t>
            </w:r>
          </w:p>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司群</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注射剂</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限芳香化酶抑制</w:t>
            </w:r>
            <w:r>
              <w:rPr>
                <w:rFonts w:hint="eastAsia" w:asciiTheme="minorEastAsia" w:hAnsiTheme="minorEastAsia" w:eastAsiaTheme="minorEastAsia" w:cstheme="minorEastAsia"/>
                <w:color w:val="000000"/>
                <w:kern w:val="0"/>
                <w:sz w:val="21"/>
                <w:szCs w:val="21"/>
                <w:lang w:val="en-US" w:eastAsia="zh-CN"/>
              </w:rPr>
              <w:t>剂</w:t>
            </w:r>
            <w:r>
              <w:rPr>
                <w:rFonts w:hint="eastAsia" w:asciiTheme="minorEastAsia" w:hAnsiTheme="minorEastAsia" w:eastAsiaTheme="minorEastAsia" w:cstheme="minorEastAsia"/>
                <w:color w:val="000000"/>
                <w:kern w:val="0"/>
                <w:sz w:val="21"/>
                <w:szCs w:val="21"/>
              </w:rPr>
              <w:t>治疗失败后的晚期、激素受体(E</w:t>
            </w:r>
            <w:r>
              <w:rPr>
                <w:rFonts w:hint="eastAsia" w:asciiTheme="minorEastAsia" w:hAnsiTheme="minorEastAsia" w:eastAsiaTheme="minorEastAsia" w:cstheme="minorEastAsia"/>
                <w:color w:val="000000"/>
                <w:kern w:val="0"/>
                <w:sz w:val="21"/>
                <w:szCs w:val="21"/>
                <w:lang w:val="en-US" w:eastAsia="zh-CN"/>
              </w:rPr>
              <w:t>R/</w:t>
            </w:r>
            <w:r>
              <w:rPr>
                <w:rFonts w:hint="eastAsia" w:asciiTheme="minorEastAsia" w:hAnsiTheme="minorEastAsia" w:eastAsiaTheme="minorEastAsia" w:cstheme="minorEastAsia"/>
                <w:color w:val="000000"/>
                <w:kern w:val="0"/>
                <w:sz w:val="21"/>
                <w:szCs w:val="21"/>
              </w:rPr>
              <w:t>PR）阳性乳腺癌治疗。</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抗肿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瘤药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乳腺癌</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l.病理报告或影像报告或细胞学检查证实晚期乳腺癌，检测为ER/PR为阳性3</w:t>
            </w:r>
            <w:r>
              <w:rPr>
                <w:rFonts w:hint="eastAsia" w:asciiTheme="minorEastAsia" w:hAnsiTheme="minorEastAsia" w:eastAsiaTheme="minorEastAsia" w:cstheme="minorEastAsia"/>
                <w:color w:val="000000"/>
                <w:kern w:val="0"/>
                <w:sz w:val="21"/>
                <w:szCs w:val="21"/>
                <w:lang w:val="en-US" w:eastAsia="zh-CN"/>
              </w:rPr>
              <w:t>入</w:t>
            </w:r>
            <w:r>
              <w:rPr>
                <w:rFonts w:hint="eastAsia" w:asciiTheme="minorEastAsia" w:hAnsiTheme="minorEastAsia" w:eastAsiaTheme="minorEastAsia" w:cstheme="minorEastAsia"/>
                <w:color w:val="000000"/>
                <w:kern w:val="0"/>
                <w:sz w:val="21"/>
                <w:szCs w:val="21"/>
              </w:rPr>
              <w:t>院记录4.出院小结5.诊断证明6.芳香化酶抑制剂治疗失败的病史资料和用药记录</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710"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4</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依维</w:t>
            </w:r>
          </w:p>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莫司</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口服常释剂型</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限以下情况</w:t>
            </w:r>
            <w:r>
              <w:rPr>
                <w:rFonts w:hint="eastAsia" w:asciiTheme="minorEastAsia" w:hAnsiTheme="minorEastAsia" w:eastAsiaTheme="minorEastAsia" w:cstheme="minorEastAsia"/>
                <w:color w:val="auto"/>
                <w:kern w:val="0"/>
                <w:sz w:val="21"/>
                <w:szCs w:val="21"/>
                <w:lang w:val="en-US" w:eastAsia="zh-CN"/>
              </w:rPr>
              <w:t>方</w:t>
            </w:r>
            <w:r>
              <w:rPr>
                <w:rFonts w:hint="eastAsia" w:asciiTheme="minorEastAsia" w:hAnsiTheme="minorEastAsia" w:eastAsiaTheme="minorEastAsia" w:cstheme="minorEastAsia"/>
                <w:color w:val="auto"/>
                <w:kern w:val="0"/>
                <w:sz w:val="21"/>
                <w:szCs w:val="21"/>
              </w:rPr>
              <w:t>可支付：</w:t>
            </w: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.接受舒尼替尼或索拉非尼治疗失败的晚期肾细胞癌成人患者。2.不可切除的、局部晚期或转移性的、分化良好的（中度分化或高度分化）进展期</w:t>
            </w:r>
            <w:r>
              <w:rPr>
                <w:rFonts w:hint="eastAsia" w:asciiTheme="minorEastAsia" w:hAnsiTheme="minorEastAsia" w:eastAsiaTheme="minorEastAsia" w:cstheme="minorEastAsia"/>
                <w:color w:val="auto"/>
                <w:kern w:val="0"/>
                <w:sz w:val="21"/>
                <w:szCs w:val="21"/>
                <w:lang w:val="en-US" w:eastAsia="zh-CN"/>
              </w:rPr>
              <w:t>胰</w:t>
            </w:r>
            <w:r>
              <w:rPr>
                <w:rFonts w:hint="eastAsia" w:asciiTheme="minorEastAsia" w:hAnsiTheme="minorEastAsia" w:eastAsiaTheme="minorEastAsia" w:cstheme="minorEastAsia"/>
                <w:color w:val="auto"/>
                <w:kern w:val="0"/>
                <w:sz w:val="21"/>
                <w:szCs w:val="21"/>
              </w:rPr>
              <w:t>腺神经内分泌瘤成人患者。3.不需立即手术治疗的结节性硬化症相关的肾血管平滑肌脂肪瘤（ TSC-AML）成人患者。</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抗肿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瘤药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肾细胞癌</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l.病理报告2.影像学检查报告3.入院记录 4.出院小结5.诊断证明6.接受舒尼替尼或索拉非尼</w:t>
            </w:r>
            <w:r>
              <w:rPr>
                <w:rFonts w:hint="eastAsia" w:asciiTheme="minorEastAsia" w:hAnsiTheme="minorEastAsia" w:eastAsiaTheme="minorEastAsia" w:cstheme="minorEastAsia"/>
                <w:color w:val="auto"/>
                <w:kern w:val="0"/>
                <w:sz w:val="21"/>
                <w:szCs w:val="21"/>
                <w:lang w:val="en-US" w:eastAsia="zh-CN"/>
              </w:rPr>
              <w:t>治</w:t>
            </w:r>
            <w:r>
              <w:rPr>
                <w:rFonts w:hint="eastAsia" w:asciiTheme="minorEastAsia" w:hAnsiTheme="minorEastAsia" w:eastAsiaTheme="minorEastAsia" w:cstheme="minorEastAsia"/>
                <w:color w:val="auto"/>
                <w:kern w:val="0"/>
                <w:sz w:val="21"/>
                <w:szCs w:val="21"/>
              </w:rPr>
              <w:t>疗失败的病史资料</w:t>
            </w:r>
          </w:p>
        </w:tc>
      </w:tr>
      <w:tr>
        <w:tblPrEx>
          <w:tblLayout w:type="fixed"/>
          <w:tblCellMar>
            <w:top w:w="0" w:type="dxa"/>
            <w:left w:w="108" w:type="dxa"/>
            <w:bottom w:w="0" w:type="dxa"/>
            <w:right w:w="108" w:type="dxa"/>
          </w:tblCellMar>
        </w:tblPrEx>
        <w:trPr>
          <w:trHeight w:val="947"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97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胰腺神</w:t>
            </w:r>
            <w:r>
              <w:rPr>
                <w:rFonts w:hint="eastAsia" w:asciiTheme="minorEastAsia" w:hAnsiTheme="minorEastAsia" w:eastAsiaTheme="minorEastAsia" w:cstheme="minorEastAsia"/>
                <w:color w:val="auto"/>
                <w:kern w:val="0"/>
                <w:sz w:val="21"/>
                <w:szCs w:val="21"/>
              </w:rPr>
              <w:t>经内分泌瘤</w:t>
            </w:r>
          </w:p>
        </w:tc>
        <w:tc>
          <w:tcPr>
            <w:tcW w:w="400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1"/>
                <w:szCs w:val="21"/>
              </w:rPr>
            </w:pPr>
          </w:p>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l.病理报告2.影像学检查报告3.入院记录4.出院小结5.诊断证明</w:t>
            </w:r>
          </w:p>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1500" w:hRule="atLeast"/>
        </w:trPr>
        <w:tc>
          <w:tcPr>
            <w:tcW w:w="74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nil"/>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结节性硬化症相关的</w:t>
            </w:r>
          </w:p>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肾血管平滑肌脂肪瘤</w:t>
            </w:r>
          </w:p>
        </w:tc>
        <w:tc>
          <w:tcPr>
            <w:tcW w:w="4007"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l病理报告或影像学检查报告符合结节性硬化症相关的肾血管平滑肌脂肪瘤2.入院记录3.出院小结4.诊断证明</w:t>
            </w: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5</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来那</w:t>
            </w:r>
          </w:p>
          <w:p>
            <w:pPr>
              <w:widowControl/>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度</w:t>
            </w:r>
            <w:r>
              <w:rPr>
                <w:rFonts w:hint="eastAsia" w:asciiTheme="minorEastAsia" w:hAnsiTheme="minorEastAsia" w:eastAsiaTheme="minorEastAsia" w:cstheme="minorEastAsia"/>
                <w:color w:val="000000"/>
                <w:kern w:val="0"/>
                <w:sz w:val="21"/>
                <w:szCs w:val="21"/>
                <w:lang w:val="en-US" w:eastAsia="zh-CN"/>
              </w:rPr>
              <w:t>胺</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口服常释剂型</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限曾接受过至少一种疗法的多发性骨髓瘤的成年患者，并满足以下条件：l</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每2个疗程需提供治疗有效的证据后方可继续支付；2.由三级医院血液专科或血液专科医院医师处</w:t>
            </w:r>
            <w:r>
              <w:rPr>
                <w:rFonts w:hint="eastAsia" w:asciiTheme="minorEastAsia" w:hAnsiTheme="minorEastAsia" w:eastAsiaTheme="minorEastAsia" w:cstheme="minorEastAsia"/>
                <w:color w:val="auto"/>
                <w:kern w:val="0"/>
                <w:sz w:val="21"/>
                <w:szCs w:val="21"/>
                <w:lang w:val="en-US" w:eastAsia="zh-CN"/>
              </w:rPr>
              <w:t>方</w:t>
            </w:r>
            <w:r>
              <w:rPr>
                <w:rFonts w:hint="eastAsia" w:asciiTheme="minorEastAsia" w:hAnsiTheme="minorEastAsia" w:eastAsiaTheme="minorEastAsia" w:cstheme="minorEastAsia"/>
                <w:color w:val="auto"/>
                <w:kern w:val="0"/>
                <w:sz w:val="21"/>
                <w:szCs w:val="21"/>
              </w:rPr>
              <w:t>；3.与棚替佐米联合使用不予支付。</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抗肿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瘤药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多发性骨髓瘤</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.骨髓细胞学和（或）病理学检查报告 2.</w:t>
            </w:r>
            <w:r>
              <w:rPr>
                <w:rFonts w:hint="eastAsia" w:asciiTheme="minorEastAsia" w:hAnsiTheme="minorEastAsia" w:eastAsiaTheme="minorEastAsia" w:cstheme="minorEastAsia"/>
                <w:color w:val="auto"/>
                <w:kern w:val="0"/>
                <w:sz w:val="21"/>
                <w:szCs w:val="21"/>
                <w:lang w:val="en-US" w:eastAsia="zh-CN"/>
              </w:rPr>
              <w:t>入</w:t>
            </w:r>
            <w:r>
              <w:rPr>
                <w:rFonts w:hint="eastAsia" w:asciiTheme="minorEastAsia" w:hAnsiTheme="minorEastAsia" w:eastAsiaTheme="minorEastAsia" w:cstheme="minorEastAsia"/>
                <w:color w:val="auto"/>
                <w:kern w:val="0"/>
                <w:sz w:val="21"/>
                <w:szCs w:val="21"/>
              </w:rPr>
              <w:t>院记录3.出院小结4.诊断证明5.本次化疗方案</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1168"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w:t>
            </w:r>
            <w:r>
              <w:rPr>
                <w:rFonts w:hint="eastAsia" w:asciiTheme="minorEastAsia" w:hAnsiTheme="minorEastAsia" w:eastAsiaTheme="minorEastAsia" w:cstheme="minorEastAsia"/>
                <w:color w:val="000000"/>
                <w:kern w:val="0"/>
                <w:sz w:val="21"/>
                <w:szCs w:val="21"/>
                <w:lang w:val="en-US" w:eastAsia="zh-CN"/>
              </w:rPr>
              <w:t>6</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埃克</w:t>
            </w:r>
          </w:p>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替尼</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口服常释剂型</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限EGFR基因敏感突变的晚期非小细胞肺癌</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抗肿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瘤药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非小细胞肺癌</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l病理报告2.EGFR敏感或突变3影像学 检查报告4.入院记录5.出院小结6.诊断证明</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17</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达沙</w:t>
            </w:r>
          </w:p>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替尼</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口服常释剂型</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限对伊马替</w:t>
            </w:r>
            <w:r>
              <w:rPr>
                <w:rFonts w:hint="eastAsia" w:asciiTheme="minorEastAsia" w:hAnsiTheme="minorEastAsia" w:eastAsiaTheme="minorEastAsia" w:cstheme="minorEastAsia"/>
                <w:color w:val="000000"/>
                <w:kern w:val="0"/>
                <w:sz w:val="21"/>
                <w:szCs w:val="21"/>
                <w:lang w:val="en-US" w:eastAsia="zh-CN"/>
              </w:rPr>
              <w:t>尼</w:t>
            </w:r>
            <w:r>
              <w:rPr>
                <w:rFonts w:hint="eastAsia" w:asciiTheme="minorEastAsia" w:hAnsiTheme="minorEastAsia" w:eastAsiaTheme="minorEastAsia" w:cstheme="minorEastAsia"/>
                <w:color w:val="000000"/>
                <w:kern w:val="0"/>
                <w:sz w:val="21"/>
                <w:szCs w:val="21"/>
              </w:rPr>
              <w:t>耐药或不耐受的慢性细胞白血病患者</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抗肿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瘤药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慢性髓细胞白血病</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l骨髓检查报告2.入院记录3.出院小结 4.诊断证明</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rPr>
              <w:t>5.对伊马替尼耐药或不耐受的</w:t>
            </w:r>
            <w:r>
              <w:rPr>
                <w:rFonts w:hint="eastAsia" w:asciiTheme="minorEastAsia" w:hAnsiTheme="minorEastAsia" w:eastAsiaTheme="minorEastAsia" w:cstheme="minorEastAsia"/>
                <w:color w:val="000000"/>
                <w:kern w:val="0"/>
                <w:sz w:val="21"/>
                <w:szCs w:val="21"/>
                <w:lang w:val="en-US" w:eastAsia="zh-CN"/>
              </w:rPr>
              <w:t>病史资料</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18</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吉非 替尼</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口服常释剂型</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限EGFR基因敏感突变的晚期非小细胞肺癌</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抗肿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瘤药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非小细胞肺癌</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1.病理报告2.EGFR敏感或突变3影像学检查报告4.入院记录5.出院小结6.诊断证明</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19</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伊马</w:t>
            </w:r>
          </w:p>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替尼</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口服常释剂型</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限有慢性髓性白血病诊断并有费城染色体阳性的检验证据；胃肠间质瘤</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抗肿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瘤药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慢性髓性白血病</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1.骨髓检查报告2.入院记录3.出院小结4.诊断证明</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胃肠间质瘤</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1.病理报告2.入院记录3.出院小结4.诊断证明</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0</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培美</w:t>
            </w:r>
          </w:p>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曲塞</w:t>
            </w: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注射剂</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限局部晚期或转移性非鳞状细胞型非小细胞肺癌；恶性胸膜间皮瘤</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抗肿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瘤药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限局部晚期或转移性 </w:t>
            </w:r>
          </w:p>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非鳞状细胞型非小细</w:t>
            </w:r>
          </w:p>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胞肺癌</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1.病理报告2.影像学检查报告3.入院记录4.出院小结5.诊断证明</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恶性胸膜间皮瘤</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1.病理报告2.入院记录3.出院小结4.诊断证明</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Theme="minorEastAsia" w:hAnsiTheme="minorEastAsia" w:eastAsiaTheme="minorEastAsia" w:cstheme="minorEastAsia"/>
                <w:color w:val="auto"/>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10" w:firstLineChars="100"/>
              <w:jc w:val="left"/>
              <w:rPr>
                <w:rFonts w:hint="eastAsia" w:asciiTheme="minorEastAsia" w:hAnsiTheme="minorEastAsia" w:eastAsiaTheme="minorEastAsia" w:cstheme="minorEastAsia"/>
                <w:color w:val="FF0000"/>
                <w:kern w:val="0"/>
                <w:sz w:val="21"/>
                <w:szCs w:val="21"/>
                <w:lang w:eastAsia="zh-CN"/>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lang w:val="en-US" w:eastAsia="zh-CN"/>
              </w:rPr>
              <w:t>1</w:t>
            </w:r>
          </w:p>
        </w:tc>
        <w:tc>
          <w:tcPr>
            <w:tcW w:w="8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人凝血因子VIII</w:t>
            </w:r>
          </w:p>
          <w:p>
            <w:pPr>
              <w:widowControl/>
              <w:jc w:val="center"/>
              <w:rPr>
                <w:rFonts w:hint="eastAsia" w:asciiTheme="minorEastAsia" w:hAnsiTheme="minorEastAsia" w:eastAsiaTheme="minorEastAsia" w:cstheme="minorEastAsia"/>
                <w:color w:val="000000"/>
                <w:kern w:val="0"/>
                <w:sz w:val="21"/>
                <w:szCs w:val="21"/>
              </w:rPr>
            </w:pPr>
          </w:p>
        </w:tc>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注射剂</w:t>
            </w:r>
          </w:p>
        </w:tc>
        <w:tc>
          <w:tcPr>
            <w:tcW w:w="4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用于血浆凝血因子Ⅷ缺乏性甲型血友病的治疗</w:t>
            </w:r>
          </w:p>
        </w:tc>
        <w:tc>
          <w:tcPr>
            <w:tcW w:w="7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抗出血药</w:t>
            </w:r>
          </w:p>
        </w:tc>
        <w:tc>
          <w:tcPr>
            <w:tcW w:w="26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凝血因子Ⅷ缺乏性甲型血友病</w:t>
            </w:r>
          </w:p>
        </w:tc>
        <w:tc>
          <w:tcPr>
            <w:tcW w:w="4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1、需提供确诊该疾病的凝血因子活性检查报告单（报告符合APTT延长、FVIII水平明显底下）该报告单无时间年限限制；2、凝血功能化验报告单； 3、诊断证明</w:t>
            </w: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12"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4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4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1"/>
                <w:szCs w:val="21"/>
              </w:rPr>
            </w:pPr>
          </w:p>
        </w:tc>
      </w:tr>
    </w:tbl>
    <w:p>
      <w:pPr>
        <w:rPr>
          <w:rFonts w:hint="eastAsia" w:asciiTheme="minorEastAsia" w:hAnsiTheme="minorEastAsia" w:eastAsiaTheme="minorEastAsia" w:cstheme="minorEastAsia"/>
          <w:sz w:val="21"/>
          <w:szCs w:val="21"/>
        </w:rPr>
      </w:pPr>
    </w:p>
    <w:sectPr>
      <w:pgSz w:w="16838" w:h="11906" w:orient="landscape"/>
      <w:pgMar w:top="851"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2F92"/>
    <w:rsid w:val="00052118"/>
    <w:rsid w:val="000834BF"/>
    <w:rsid w:val="001B29AC"/>
    <w:rsid w:val="001C49E0"/>
    <w:rsid w:val="0021317E"/>
    <w:rsid w:val="00393834"/>
    <w:rsid w:val="00480AC3"/>
    <w:rsid w:val="006D2F92"/>
    <w:rsid w:val="00726C93"/>
    <w:rsid w:val="007271A7"/>
    <w:rsid w:val="007E7E4F"/>
    <w:rsid w:val="008418E7"/>
    <w:rsid w:val="008C200D"/>
    <w:rsid w:val="009426D3"/>
    <w:rsid w:val="00AE3288"/>
    <w:rsid w:val="00BA2966"/>
    <w:rsid w:val="00BB5440"/>
    <w:rsid w:val="00BC71B2"/>
    <w:rsid w:val="00CE5F68"/>
    <w:rsid w:val="00D2457B"/>
    <w:rsid w:val="00E23FFF"/>
    <w:rsid w:val="00E80F66"/>
    <w:rsid w:val="050C7B44"/>
    <w:rsid w:val="05EF4AFD"/>
    <w:rsid w:val="08CF6D88"/>
    <w:rsid w:val="0AF16532"/>
    <w:rsid w:val="0D873B38"/>
    <w:rsid w:val="0E4A2ACB"/>
    <w:rsid w:val="103F6164"/>
    <w:rsid w:val="12741D57"/>
    <w:rsid w:val="16946040"/>
    <w:rsid w:val="16DF0535"/>
    <w:rsid w:val="17687617"/>
    <w:rsid w:val="19040CD3"/>
    <w:rsid w:val="1BE31522"/>
    <w:rsid w:val="1DE14741"/>
    <w:rsid w:val="22352FBC"/>
    <w:rsid w:val="284F0E4C"/>
    <w:rsid w:val="2D565CFF"/>
    <w:rsid w:val="2DD06328"/>
    <w:rsid w:val="2FC44B8C"/>
    <w:rsid w:val="31DA27A7"/>
    <w:rsid w:val="342B20FB"/>
    <w:rsid w:val="3A683E50"/>
    <w:rsid w:val="3C24702A"/>
    <w:rsid w:val="3EED0082"/>
    <w:rsid w:val="3F1650D3"/>
    <w:rsid w:val="420E6FAC"/>
    <w:rsid w:val="42593578"/>
    <w:rsid w:val="436D21FD"/>
    <w:rsid w:val="4BEB6E6D"/>
    <w:rsid w:val="4F44451B"/>
    <w:rsid w:val="56E73279"/>
    <w:rsid w:val="58972C80"/>
    <w:rsid w:val="5EB44417"/>
    <w:rsid w:val="61B8446E"/>
    <w:rsid w:val="63AA312E"/>
    <w:rsid w:val="6ACF4C6A"/>
    <w:rsid w:val="6D0B3F18"/>
    <w:rsid w:val="6DAE5720"/>
    <w:rsid w:val="6DBE12C6"/>
    <w:rsid w:val="6DCB1926"/>
    <w:rsid w:val="6F233962"/>
    <w:rsid w:val="70C20F80"/>
    <w:rsid w:val="71091A3F"/>
    <w:rsid w:val="72CA36B8"/>
    <w:rsid w:val="7B710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695</Words>
  <Characters>3965</Characters>
  <Lines>33</Lines>
  <Paragraphs>9</Paragraphs>
  <TotalTime>82</TotalTime>
  <ScaleCrop>false</ScaleCrop>
  <LinksUpToDate>false</LinksUpToDate>
  <CharactersWithSpaces>4651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2020-01-15T05:29:00Z</dcterms:created>
  <dc:creator>文政强</dc:creator>
  <cp:lastModifiedBy>百合</cp:lastModifiedBy>
  <cp:lastPrinted>2020-03-30T02:18:00Z</cp:lastPrinted>
  <dcterms:modified xsi:type="dcterms:W3CDTF">2020-04-03T08:57:46Z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